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1585" w14:textId="20B499D9" w:rsidR="00254760" w:rsidRDefault="0064504D" w:rsidP="0064504D">
      <w:pPr>
        <w:jc w:val="center"/>
        <w:rPr>
          <w:b/>
          <w:bCs/>
          <w:sz w:val="36"/>
          <w:szCs w:val="36"/>
        </w:rPr>
      </w:pPr>
      <w:r w:rsidRPr="0064504D">
        <w:rPr>
          <w:b/>
          <w:bCs/>
          <w:sz w:val="36"/>
          <w:szCs w:val="36"/>
        </w:rPr>
        <w:t>SACO Treasurer’s AGM Report March 2025</w:t>
      </w:r>
    </w:p>
    <w:p w14:paraId="057132F7" w14:textId="2C244961" w:rsidR="0064504D" w:rsidRPr="00486AF2" w:rsidRDefault="0064504D" w:rsidP="0064504D">
      <w:pPr>
        <w:rPr>
          <w:sz w:val="26"/>
          <w:szCs w:val="26"/>
        </w:rPr>
      </w:pPr>
      <w:r w:rsidRPr="00486AF2">
        <w:rPr>
          <w:sz w:val="26"/>
          <w:szCs w:val="26"/>
        </w:rPr>
        <w:t>The signed accounts are part of this report.</w:t>
      </w:r>
    </w:p>
    <w:p w14:paraId="6DD4FBE9" w14:textId="680330D3" w:rsidR="0064504D" w:rsidRPr="00486AF2" w:rsidRDefault="0064504D" w:rsidP="0064504D">
      <w:pPr>
        <w:pStyle w:val="ListParagraph"/>
        <w:numPr>
          <w:ilvl w:val="0"/>
          <w:numId w:val="1"/>
        </w:numPr>
        <w:rPr>
          <w:sz w:val="26"/>
          <w:szCs w:val="26"/>
        </w:rPr>
      </w:pPr>
      <w:r w:rsidRPr="00486AF2">
        <w:rPr>
          <w:sz w:val="26"/>
          <w:szCs w:val="26"/>
        </w:rPr>
        <w:t>The accounting period is the 13 to October 31 2024. The Committee decided to change the accounting year end to October as in both 2023 and 2024 there were a large number of transactions relating to the 2024 season which occurred in October.</w:t>
      </w:r>
    </w:p>
    <w:p w14:paraId="7DDE9CAA" w14:textId="100181B3" w:rsidR="0064504D" w:rsidRPr="00486AF2" w:rsidRDefault="0064504D" w:rsidP="0064504D">
      <w:pPr>
        <w:pStyle w:val="ListParagraph"/>
        <w:numPr>
          <w:ilvl w:val="0"/>
          <w:numId w:val="1"/>
        </w:numPr>
        <w:rPr>
          <w:sz w:val="26"/>
          <w:szCs w:val="26"/>
        </w:rPr>
      </w:pPr>
      <w:r w:rsidRPr="00486AF2">
        <w:rPr>
          <w:sz w:val="26"/>
          <w:szCs w:val="26"/>
        </w:rPr>
        <w:t>The key figures from these accounts in 2023-24 (with comparable figures for 2022-23 in brackets) are:</w:t>
      </w:r>
    </w:p>
    <w:p w14:paraId="45BF1B86" w14:textId="77777777" w:rsidR="0064504D" w:rsidRPr="00486AF2" w:rsidRDefault="0064504D" w:rsidP="0064504D">
      <w:pPr>
        <w:pStyle w:val="ListParagraph"/>
        <w:rPr>
          <w:sz w:val="26"/>
          <w:szCs w:val="26"/>
        </w:rPr>
      </w:pPr>
    </w:p>
    <w:p w14:paraId="2AACBC34" w14:textId="24D97736" w:rsidR="0064504D" w:rsidRPr="00486AF2" w:rsidRDefault="0064504D" w:rsidP="0064504D">
      <w:pPr>
        <w:pStyle w:val="ListParagraph"/>
        <w:rPr>
          <w:sz w:val="26"/>
          <w:szCs w:val="26"/>
        </w:rPr>
      </w:pPr>
      <w:r w:rsidRPr="00486AF2">
        <w:rPr>
          <w:sz w:val="26"/>
          <w:szCs w:val="26"/>
        </w:rPr>
        <w:t>Income                                                                 £15,835.54        (£4,496.04)</w:t>
      </w:r>
    </w:p>
    <w:p w14:paraId="399172B0" w14:textId="434055BC" w:rsidR="0064504D" w:rsidRPr="00486AF2" w:rsidRDefault="0064504D" w:rsidP="003D0795">
      <w:pPr>
        <w:pStyle w:val="ListParagraph"/>
        <w:rPr>
          <w:sz w:val="26"/>
          <w:szCs w:val="26"/>
        </w:rPr>
      </w:pPr>
      <w:r w:rsidRPr="00486AF2">
        <w:rPr>
          <w:sz w:val="26"/>
          <w:szCs w:val="26"/>
        </w:rPr>
        <w:t>Expenditure                                                        £14,318.52        (£6,135.28</w:t>
      </w:r>
      <w:r w:rsidR="003D0795" w:rsidRPr="00486AF2">
        <w:rPr>
          <w:sz w:val="26"/>
          <w:szCs w:val="26"/>
        </w:rPr>
        <w:t>)</w:t>
      </w:r>
    </w:p>
    <w:p w14:paraId="6A6E46C2" w14:textId="1D1FA5AB" w:rsidR="0064504D" w:rsidRPr="00486AF2" w:rsidRDefault="0064504D" w:rsidP="0064504D">
      <w:pPr>
        <w:pStyle w:val="ListParagraph"/>
        <w:rPr>
          <w:sz w:val="26"/>
          <w:szCs w:val="26"/>
        </w:rPr>
      </w:pPr>
      <w:r w:rsidRPr="00486AF2">
        <w:rPr>
          <w:sz w:val="26"/>
          <w:szCs w:val="26"/>
        </w:rPr>
        <w:t>Excess of Income over Expenditure         £1,517.02   (deficit £1,639.24)</w:t>
      </w:r>
    </w:p>
    <w:p w14:paraId="17219FB7" w14:textId="77777777" w:rsidR="0064504D" w:rsidRPr="00486AF2" w:rsidRDefault="0064504D" w:rsidP="0064504D">
      <w:pPr>
        <w:pStyle w:val="ListParagraph"/>
        <w:rPr>
          <w:sz w:val="26"/>
          <w:szCs w:val="26"/>
        </w:rPr>
      </w:pPr>
    </w:p>
    <w:p w14:paraId="0CF0829B" w14:textId="4252E06F" w:rsidR="0064504D" w:rsidRPr="00486AF2" w:rsidRDefault="0064504D" w:rsidP="0064504D">
      <w:pPr>
        <w:pStyle w:val="ListParagraph"/>
        <w:rPr>
          <w:sz w:val="26"/>
          <w:szCs w:val="26"/>
        </w:rPr>
      </w:pPr>
      <w:r w:rsidRPr="00486AF2">
        <w:rPr>
          <w:sz w:val="26"/>
          <w:szCs w:val="26"/>
        </w:rPr>
        <w:t>Cash at Bank at period end                         £23,293.06        (£21,776.04)</w:t>
      </w:r>
    </w:p>
    <w:p w14:paraId="1D4FB30E" w14:textId="77777777" w:rsidR="00166089" w:rsidRPr="00486AF2" w:rsidRDefault="00166089" w:rsidP="0064504D">
      <w:pPr>
        <w:pStyle w:val="ListParagraph"/>
        <w:rPr>
          <w:sz w:val="26"/>
          <w:szCs w:val="26"/>
        </w:rPr>
      </w:pPr>
    </w:p>
    <w:p w14:paraId="09235163" w14:textId="7273DDD0" w:rsidR="00166089" w:rsidRPr="00486AF2" w:rsidRDefault="00166089" w:rsidP="00166089">
      <w:pPr>
        <w:pStyle w:val="ListParagraph"/>
        <w:numPr>
          <w:ilvl w:val="0"/>
          <w:numId w:val="1"/>
        </w:numPr>
        <w:rPr>
          <w:sz w:val="26"/>
          <w:szCs w:val="26"/>
        </w:rPr>
      </w:pPr>
      <w:r w:rsidRPr="00486AF2">
        <w:rPr>
          <w:sz w:val="26"/>
          <w:szCs w:val="26"/>
        </w:rPr>
        <w:t>Meeting costs for 2022-23 were actually paid in 2023-24 – hence reflect two years’ worth of expenditure.</w:t>
      </w:r>
    </w:p>
    <w:p w14:paraId="4FF354D1" w14:textId="49E9EDD4" w:rsidR="00166089" w:rsidRPr="00486AF2" w:rsidRDefault="00166089" w:rsidP="00166089">
      <w:pPr>
        <w:pStyle w:val="ListParagraph"/>
        <w:numPr>
          <w:ilvl w:val="0"/>
          <w:numId w:val="1"/>
        </w:numPr>
        <w:rPr>
          <w:sz w:val="26"/>
          <w:szCs w:val="26"/>
        </w:rPr>
      </w:pPr>
      <w:r w:rsidRPr="00486AF2">
        <w:rPr>
          <w:sz w:val="26"/>
          <w:szCs w:val="26"/>
        </w:rPr>
        <w:t>In 2023-24 Administ</w:t>
      </w:r>
      <w:r w:rsidR="003D0795" w:rsidRPr="00486AF2">
        <w:rPr>
          <w:sz w:val="26"/>
          <w:szCs w:val="26"/>
        </w:rPr>
        <w:t>ra</w:t>
      </w:r>
      <w:r w:rsidRPr="00486AF2">
        <w:rPr>
          <w:sz w:val="26"/>
          <w:szCs w:val="26"/>
        </w:rPr>
        <w:t xml:space="preserve">tion and </w:t>
      </w:r>
      <w:r w:rsidR="003D0795" w:rsidRPr="00486AF2">
        <w:rPr>
          <w:sz w:val="26"/>
          <w:szCs w:val="26"/>
        </w:rPr>
        <w:t>M</w:t>
      </w:r>
      <w:r w:rsidRPr="00486AF2">
        <w:rPr>
          <w:sz w:val="26"/>
          <w:szCs w:val="26"/>
        </w:rPr>
        <w:t>iscellaneous expenses were combined</w:t>
      </w:r>
      <w:r w:rsidR="003D0795" w:rsidRPr="00486AF2">
        <w:rPr>
          <w:sz w:val="26"/>
          <w:szCs w:val="26"/>
        </w:rPr>
        <w:t>.</w:t>
      </w:r>
    </w:p>
    <w:p w14:paraId="27225943" w14:textId="7F9723C1" w:rsidR="003D0795" w:rsidRPr="00486AF2" w:rsidRDefault="003D0795" w:rsidP="00166089">
      <w:pPr>
        <w:pStyle w:val="ListParagraph"/>
        <w:numPr>
          <w:ilvl w:val="0"/>
          <w:numId w:val="1"/>
        </w:numPr>
        <w:rPr>
          <w:sz w:val="26"/>
          <w:szCs w:val="26"/>
        </w:rPr>
      </w:pPr>
      <w:r w:rsidRPr="00486AF2">
        <w:rPr>
          <w:sz w:val="26"/>
          <w:szCs w:val="26"/>
        </w:rPr>
        <w:t>Miscellaneous Income and Payments to umpires largely reflect SACO acting as the collector and distributor of umpiring fees for the SWCL for both the 2023 and 2024 season and the Europe Cricket Network event held in 2024. SACO distributed all the income that was received from these tournaments.</w:t>
      </w:r>
    </w:p>
    <w:p w14:paraId="1127766D" w14:textId="256E1022" w:rsidR="003D0795" w:rsidRDefault="003D0795" w:rsidP="003D0795">
      <w:pPr>
        <w:pStyle w:val="ListParagraph"/>
        <w:numPr>
          <w:ilvl w:val="0"/>
          <w:numId w:val="1"/>
        </w:numPr>
        <w:rPr>
          <w:sz w:val="26"/>
          <w:szCs w:val="26"/>
        </w:rPr>
      </w:pPr>
      <w:r w:rsidRPr="00486AF2">
        <w:rPr>
          <w:sz w:val="26"/>
          <w:szCs w:val="26"/>
        </w:rPr>
        <w:t>Training Other costs include fees for ECB Observations for the 2023 and 2024 seasons, much of which is included in ECB Development Rebates, and also includes tutor costs for the CPD sessions held during the 2024 season.</w:t>
      </w:r>
    </w:p>
    <w:p w14:paraId="03320F1C" w14:textId="77777777" w:rsidR="00486AF2" w:rsidRPr="00486AF2" w:rsidRDefault="00486AF2" w:rsidP="00486AF2">
      <w:pPr>
        <w:pStyle w:val="ListParagraph"/>
        <w:rPr>
          <w:sz w:val="26"/>
          <w:szCs w:val="26"/>
        </w:rPr>
      </w:pPr>
    </w:p>
    <w:p w14:paraId="19433A05" w14:textId="77777777" w:rsidR="00486AF2" w:rsidRDefault="0064504D" w:rsidP="0064504D">
      <w:pPr>
        <w:pStyle w:val="ListParagraph"/>
        <w:numPr>
          <w:ilvl w:val="0"/>
          <w:numId w:val="1"/>
        </w:numPr>
        <w:rPr>
          <w:sz w:val="26"/>
          <w:szCs w:val="26"/>
        </w:rPr>
      </w:pPr>
      <w:r w:rsidRPr="00486AF2">
        <w:rPr>
          <w:sz w:val="26"/>
          <w:szCs w:val="26"/>
        </w:rPr>
        <w:t xml:space="preserve">Note that all forecasts for 2024-25 months are very uncertain </w:t>
      </w:r>
      <w:r w:rsidR="00166089" w:rsidRPr="00486AF2">
        <w:rPr>
          <w:sz w:val="26"/>
          <w:szCs w:val="26"/>
        </w:rPr>
        <w:t>–</w:t>
      </w:r>
      <w:r w:rsidRPr="00486AF2">
        <w:rPr>
          <w:sz w:val="26"/>
          <w:szCs w:val="26"/>
        </w:rPr>
        <w:t xml:space="preserve"> </w:t>
      </w:r>
      <w:r w:rsidR="00166089" w:rsidRPr="00486AF2">
        <w:rPr>
          <w:sz w:val="26"/>
          <w:szCs w:val="26"/>
        </w:rPr>
        <w:t xml:space="preserve">the ECB have not yet finalised what, if any Membership Rebates might apply </w:t>
      </w:r>
      <w:r w:rsidR="007524A3" w:rsidRPr="00486AF2">
        <w:rPr>
          <w:sz w:val="26"/>
          <w:szCs w:val="26"/>
        </w:rPr>
        <w:t xml:space="preserve">this year </w:t>
      </w:r>
      <w:r w:rsidR="00166089" w:rsidRPr="00486AF2">
        <w:rPr>
          <w:sz w:val="26"/>
          <w:szCs w:val="26"/>
        </w:rPr>
        <w:t>and have discontinued Education Rebates. We have not yet agreed any funding from the Surrey Cricket Foundation for the current year.</w:t>
      </w:r>
      <w:r w:rsidR="007524A3" w:rsidRPr="00486AF2">
        <w:rPr>
          <w:sz w:val="26"/>
          <w:szCs w:val="26"/>
        </w:rPr>
        <w:t xml:space="preserve"> </w:t>
      </w:r>
    </w:p>
    <w:p w14:paraId="636C8BD3" w14:textId="327A4F5C" w:rsidR="0064504D" w:rsidRPr="00486AF2" w:rsidRDefault="00486AF2" w:rsidP="0064504D">
      <w:pPr>
        <w:pStyle w:val="ListParagraph"/>
        <w:numPr>
          <w:ilvl w:val="0"/>
          <w:numId w:val="1"/>
        </w:numPr>
        <w:rPr>
          <w:sz w:val="26"/>
          <w:szCs w:val="26"/>
        </w:rPr>
      </w:pPr>
      <w:r w:rsidRPr="00486AF2">
        <w:rPr>
          <w:sz w:val="26"/>
          <w:szCs w:val="26"/>
        </w:rPr>
        <w:t>The Association remains well funded to continue its activities whilst the uncertainties about future income streams get resolved.</w:t>
      </w:r>
    </w:p>
    <w:sectPr w:rsidR="0064504D" w:rsidRPr="00486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5504"/>
    <w:multiLevelType w:val="hybridMultilevel"/>
    <w:tmpl w:val="089E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8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60"/>
    <w:rsid w:val="00166089"/>
    <w:rsid w:val="002318B2"/>
    <w:rsid w:val="00254760"/>
    <w:rsid w:val="003D0795"/>
    <w:rsid w:val="00486AF2"/>
    <w:rsid w:val="0064504D"/>
    <w:rsid w:val="007524A3"/>
    <w:rsid w:val="00CF6C08"/>
    <w:rsid w:val="00D0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570F"/>
  <w15:chartTrackingRefBased/>
  <w15:docId w15:val="{1BE37E32-9BC5-455E-ADC2-B5FE909E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60"/>
    <w:rPr>
      <w:rFonts w:eastAsiaTheme="majorEastAsia" w:cstheme="majorBidi"/>
      <w:color w:val="272727" w:themeColor="text1" w:themeTint="D8"/>
    </w:rPr>
  </w:style>
  <w:style w:type="paragraph" w:styleId="Title">
    <w:name w:val="Title"/>
    <w:basedOn w:val="Normal"/>
    <w:next w:val="Normal"/>
    <w:link w:val="TitleChar"/>
    <w:uiPriority w:val="10"/>
    <w:qFormat/>
    <w:rsid w:val="0025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60"/>
    <w:pPr>
      <w:spacing w:before="160"/>
      <w:jc w:val="center"/>
    </w:pPr>
    <w:rPr>
      <w:i/>
      <w:iCs/>
      <w:color w:val="404040" w:themeColor="text1" w:themeTint="BF"/>
    </w:rPr>
  </w:style>
  <w:style w:type="character" w:customStyle="1" w:styleId="QuoteChar">
    <w:name w:val="Quote Char"/>
    <w:basedOn w:val="DefaultParagraphFont"/>
    <w:link w:val="Quote"/>
    <w:uiPriority w:val="29"/>
    <w:rsid w:val="00254760"/>
    <w:rPr>
      <w:i/>
      <w:iCs/>
      <w:color w:val="404040" w:themeColor="text1" w:themeTint="BF"/>
    </w:rPr>
  </w:style>
  <w:style w:type="paragraph" w:styleId="ListParagraph">
    <w:name w:val="List Paragraph"/>
    <w:basedOn w:val="Normal"/>
    <w:uiPriority w:val="34"/>
    <w:qFormat/>
    <w:rsid w:val="00254760"/>
    <w:pPr>
      <w:ind w:left="720"/>
      <w:contextualSpacing/>
    </w:pPr>
  </w:style>
  <w:style w:type="character" w:styleId="IntenseEmphasis">
    <w:name w:val="Intense Emphasis"/>
    <w:basedOn w:val="DefaultParagraphFont"/>
    <w:uiPriority w:val="21"/>
    <w:qFormat/>
    <w:rsid w:val="00254760"/>
    <w:rPr>
      <w:i/>
      <w:iCs/>
      <w:color w:val="0F4761" w:themeColor="accent1" w:themeShade="BF"/>
    </w:rPr>
  </w:style>
  <w:style w:type="paragraph" w:styleId="IntenseQuote">
    <w:name w:val="Intense Quote"/>
    <w:basedOn w:val="Normal"/>
    <w:next w:val="Normal"/>
    <w:link w:val="IntenseQuoteChar"/>
    <w:uiPriority w:val="30"/>
    <w:qFormat/>
    <w:rsid w:val="0025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60"/>
    <w:rPr>
      <w:i/>
      <w:iCs/>
      <w:color w:val="0F4761" w:themeColor="accent1" w:themeShade="BF"/>
    </w:rPr>
  </w:style>
  <w:style w:type="character" w:styleId="IntenseReference">
    <w:name w:val="Intense Reference"/>
    <w:basedOn w:val="DefaultParagraphFont"/>
    <w:uiPriority w:val="32"/>
    <w:qFormat/>
    <w:rsid w:val="00254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Stuart Todd</cp:lastModifiedBy>
  <cp:revision>2</cp:revision>
  <dcterms:created xsi:type="dcterms:W3CDTF">2025-02-09T17:55:00Z</dcterms:created>
  <dcterms:modified xsi:type="dcterms:W3CDTF">2025-02-09T17:55:00Z</dcterms:modified>
</cp:coreProperties>
</file>